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6E39" w14:textId="38152BDB" w:rsidR="00BC03A2" w:rsidRDefault="00216F30" w:rsidP="009C7BFD">
      <w:pPr>
        <w:pStyle w:val="Kop2"/>
      </w:pPr>
      <w:r>
        <w:t xml:space="preserve">Ontvangen veiligheidsgegevens van </w:t>
      </w:r>
      <w:proofErr w:type="spellStart"/>
      <w:r>
        <w:t>A</w:t>
      </w:r>
      <w:r w:rsidR="009C7BFD">
        <w:t>shwagandha</w:t>
      </w:r>
      <w:proofErr w:type="spellEnd"/>
    </w:p>
    <w:p w14:paraId="1E43CE1B" w14:textId="77777777" w:rsidR="009C7BFD" w:rsidRDefault="009C7BFD" w:rsidP="009C7BFD">
      <w:pPr>
        <w:pStyle w:val="Geenafstand"/>
      </w:pPr>
    </w:p>
    <w:p w14:paraId="099A5AC4" w14:textId="77777777" w:rsidR="009109C7" w:rsidRDefault="009109C7" w:rsidP="009C7BFD">
      <w:pPr>
        <w:pStyle w:val="Geenafstand"/>
        <w:rPr>
          <w:lang w:val="en-GB"/>
        </w:rPr>
      </w:pPr>
    </w:p>
    <w:p w14:paraId="5E7BA4D6" w14:textId="77777777" w:rsidR="009109C7" w:rsidRPr="009109C7" w:rsidRDefault="009109C7" w:rsidP="009C7BFD">
      <w:pPr>
        <w:pStyle w:val="Geenafstand"/>
        <w:rPr>
          <w:lang w:val="en-GB"/>
        </w:rPr>
      </w:pPr>
    </w:p>
    <w:p w14:paraId="73E9FE36" w14:textId="32007516" w:rsidR="009C7BFD" w:rsidRDefault="009C7BFD" w:rsidP="009C7BFD">
      <w:pPr>
        <w:pStyle w:val="Geenafstand"/>
      </w:pPr>
      <w:r>
        <w:t xml:space="preserve">Er zijn </w:t>
      </w:r>
      <w:r w:rsidR="00216F30">
        <w:t>meerdere</w:t>
      </w:r>
      <w:r>
        <w:t xml:space="preserve"> wetenschappelijke onderzoeken gedaan naar de veiligheid van </w:t>
      </w:r>
      <w:proofErr w:type="spellStart"/>
      <w:r w:rsidR="00216F30">
        <w:t>A</w:t>
      </w:r>
      <w:r>
        <w:t>shwagandha</w:t>
      </w:r>
      <w:proofErr w:type="spellEnd"/>
      <w:r>
        <w:t xml:space="preserve">. </w:t>
      </w:r>
    </w:p>
    <w:p w14:paraId="56C08701" w14:textId="77777777" w:rsidR="009C7BFD" w:rsidRDefault="009C7BFD" w:rsidP="009C7BFD">
      <w:pPr>
        <w:pStyle w:val="Geenafstand"/>
      </w:pPr>
    </w:p>
    <w:p w14:paraId="76400392" w14:textId="26E8DB2D" w:rsidR="009C7BFD" w:rsidRDefault="009C7BFD" w:rsidP="009C7BFD">
      <w:pPr>
        <w:pStyle w:val="Geenafstand"/>
        <w:numPr>
          <w:ilvl w:val="0"/>
          <w:numId w:val="1"/>
        </w:numPr>
      </w:pPr>
      <w:r>
        <w:t xml:space="preserve">300 mg </w:t>
      </w:r>
      <w:proofErr w:type="spellStart"/>
      <w:r>
        <w:t>Ashwagandha</w:t>
      </w:r>
      <w:proofErr w:type="spellEnd"/>
      <w:r>
        <w:t xml:space="preserve"> voor 8 weken is veilig voor mannen en vrouwen [1] </w:t>
      </w:r>
      <w:hyperlink r:id="rId5" w:history="1">
        <w:r w:rsidRPr="00F6724F">
          <w:rPr>
            <w:rStyle w:val="Hyperlink"/>
          </w:rPr>
          <w:t>https://www.sciencedirect.com/science/article/pii/S0965229920319099</w:t>
        </w:r>
      </w:hyperlink>
      <w:r>
        <w:t xml:space="preserve">) </w:t>
      </w:r>
    </w:p>
    <w:p w14:paraId="1B29EF69" w14:textId="77777777" w:rsidR="009C7BFD" w:rsidRPr="009C7BFD" w:rsidRDefault="009C7BFD" w:rsidP="009C7BFD">
      <w:pPr>
        <w:pStyle w:val="Geenafstand"/>
        <w:ind w:left="720"/>
      </w:pPr>
    </w:p>
    <w:p w14:paraId="027130F0" w14:textId="7BA33CBB" w:rsidR="009C7BFD" w:rsidRDefault="009C7BFD" w:rsidP="009C7BFD">
      <w:pPr>
        <w:pStyle w:val="Geenafstand"/>
        <w:numPr>
          <w:ilvl w:val="0"/>
          <w:numId w:val="1"/>
        </w:numPr>
      </w:pPr>
      <w:proofErr w:type="spellStart"/>
      <w:r w:rsidRPr="009C7BFD">
        <w:t>Ashwagandha</w:t>
      </w:r>
      <w:proofErr w:type="spellEnd"/>
      <w:r w:rsidRPr="009C7BFD">
        <w:t xml:space="preserve"> dosis van 750 mg/</w:t>
      </w:r>
      <w:r>
        <w:t>dag</w:t>
      </w:r>
      <w:r w:rsidRPr="009C7BFD">
        <w:t xml:space="preserve"> ×10 dagen, 1 000 mg/</w:t>
      </w:r>
      <w:r>
        <w:t>dag</w:t>
      </w:r>
      <w:r w:rsidRPr="009C7BFD">
        <w:t xml:space="preserve"> × 10 dagen, 1250 mg/</w:t>
      </w:r>
      <w:r>
        <w:t xml:space="preserve">dag </w:t>
      </w:r>
      <w:r w:rsidRPr="009C7BFD">
        <w:t xml:space="preserve"> × 10 da</w:t>
      </w:r>
      <w:r>
        <w:t>gen</w:t>
      </w:r>
      <w:r w:rsidRPr="009C7BFD">
        <w:t xml:space="preserve"> is ook veilig</w:t>
      </w:r>
      <w:r>
        <w:t xml:space="preserve"> [2] (</w:t>
      </w:r>
      <w:hyperlink r:id="rId6" w:history="1">
        <w:r w:rsidRPr="00F6724F">
          <w:rPr>
            <w:rStyle w:val="Hyperlink"/>
          </w:rPr>
          <w:t>https://www.ncbi.nlm.nih.gov/pmc/articles/PMC3487234/</w:t>
        </w:r>
      </w:hyperlink>
      <w:r>
        <w:t xml:space="preserve">) </w:t>
      </w:r>
    </w:p>
    <w:p w14:paraId="19533B59" w14:textId="77777777" w:rsidR="00707446" w:rsidRDefault="00707446" w:rsidP="00707446">
      <w:pPr>
        <w:pStyle w:val="Lijstalinea"/>
      </w:pPr>
    </w:p>
    <w:p w14:paraId="19ACE829" w14:textId="6FC8C429" w:rsidR="00707446" w:rsidRDefault="00707446" w:rsidP="009C7BFD">
      <w:pPr>
        <w:pStyle w:val="Geenafstand"/>
        <w:numPr>
          <w:ilvl w:val="0"/>
          <w:numId w:val="1"/>
        </w:numPr>
      </w:pPr>
      <w:r>
        <w:t>V</w:t>
      </w:r>
      <w:r w:rsidRPr="00707446">
        <w:t xml:space="preserve">oorlopige studies hebben verschillende bestanddelen van </w:t>
      </w:r>
      <w:proofErr w:type="spellStart"/>
      <w:r w:rsidRPr="00707446">
        <w:t>ashwagandha</w:t>
      </w:r>
      <w:proofErr w:type="spellEnd"/>
      <w:r w:rsidRPr="00707446">
        <w:t xml:space="preserve"> gevonden die een verscheidenheid aan therapeutische effecten vertonen met weinig of geen bijbehorende toxiciteit</w:t>
      </w:r>
      <w:r>
        <w:t xml:space="preserve"> [3]</w:t>
      </w:r>
      <w:r w:rsidRPr="00707446">
        <w:t>.</w:t>
      </w:r>
      <w:r>
        <w:t xml:space="preserve"> (</w:t>
      </w:r>
      <w:hyperlink r:id="rId7" w:history="1">
        <w:r w:rsidRPr="00F6724F">
          <w:rPr>
            <w:rStyle w:val="Hyperlink"/>
          </w:rPr>
          <w:t>https://citeseerx.ist.psu.edu/document?repid=rep1&amp;type=pdf&amp;doi=2bdff82eb23a373885252c87b53135b2fc9adde4</w:t>
        </w:r>
      </w:hyperlink>
      <w:r>
        <w:t xml:space="preserve">) </w:t>
      </w:r>
    </w:p>
    <w:p w14:paraId="29387A59" w14:textId="77777777" w:rsidR="00707446" w:rsidRDefault="00707446" w:rsidP="00707446">
      <w:pPr>
        <w:pStyle w:val="Lijstalinea"/>
      </w:pPr>
    </w:p>
    <w:p w14:paraId="20384193" w14:textId="4D79C5C0" w:rsidR="00707446" w:rsidRDefault="00707446" w:rsidP="009C7BFD">
      <w:pPr>
        <w:pStyle w:val="Geenafstand"/>
        <w:numPr>
          <w:ilvl w:val="0"/>
          <w:numId w:val="1"/>
        </w:numPr>
      </w:pPr>
      <w:r w:rsidRPr="00707446">
        <w:t xml:space="preserve">Er zijn talrijke studies uitgevoerd door verschillende onderzoekers om de giftige effecten van </w:t>
      </w:r>
      <w:proofErr w:type="spellStart"/>
      <w:r w:rsidRPr="00707446">
        <w:t>Ashwagandha</w:t>
      </w:r>
      <w:proofErr w:type="spellEnd"/>
      <w:r w:rsidRPr="00707446">
        <w:t xml:space="preserve"> te evalueren. Het wordt beschouwd als een gezond, veilig en betrouwbaar middel</w:t>
      </w:r>
      <w:r>
        <w:t xml:space="preserve"> [4]. (</w:t>
      </w:r>
      <w:hyperlink r:id="rId8" w:history="1">
        <w:r w:rsidRPr="00F6724F">
          <w:rPr>
            <w:rStyle w:val="Hyperlink"/>
          </w:rPr>
          <w:t>https://www.sciencedirect.com/science/article/abs/pii/S0378874119339182</w:t>
        </w:r>
      </w:hyperlink>
      <w:r>
        <w:t xml:space="preserve">) </w:t>
      </w:r>
    </w:p>
    <w:p w14:paraId="43DCC14D" w14:textId="77777777" w:rsidR="00FF1F41" w:rsidRDefault="00FF1F41" w:rsidP="00FF1F41">
      <w:pPr>
        <w:pStyle w:val="Lijstalinea"/>
      </w:pPr>
    </w:p>
    <w:p w14:paraId="27DF7D75" w14:textId="44196A3D" w:rsidR="00FF1F41" w:rsidRPr="00FF1F41" w:rsidRDefault="00FF1F41" w:rsidP="009C7BFD">
      <w:pPr>
        <w:pStyle w:val="Geenafstand"/>
        <w:numPr>
          <w:ilvl w:val="0"/>
          <w:numId w:val="1"/>
        </w:numPr>
      </w:pPr>
      <w:r w:rsidRPr="00FF1F41">
        <w:t>Geen één deelnemer heeft b</w:t>
      </w:r>
      <w:r>
        <w:t xml:space="preserve">ijwerkingen ervaren tijdens de studieperiode van </w:t>
      </w:r>
      <w:r w:rsidR="00ED0F32">
        <w:t xml:space="preserve">10 weken </w:t>
      </w:r>
      <w:r w:rsidR="00760F77">
        <w:t>waarbij de deelnemer</w:t>
      </w:r>
      <w:r w:rsidR="00004E50">
        <w:t>s</w:t>
      </w:r>
      <w:r w:rsidR="00760F77">
        <w:t xml:space="preserve"> 300 mg </w:t>
      </w:r>
      <w:proofErr w:type="spellStart"/>
      <w:r w:rsidR="00760F77">
        <w:t>Ashwagandha</w:t>
      </w:r>
      <w:proofErr w:type="spellEnd"/>
      <w:r w:rsidR="00004E50">
        <w:t xml:space="preserve"> consumeerden </w:t>
      </w:r>
      <w:r w:rsidR="00302587">
        <w:t>(</w:t>
      </w:r>
      <w:hyperlink r:id="rId9" w:history="1">
        <w:r w:rsidR="00302587" w:rsidRPr="00F6724F">
          <w:rPr>
            <w:rStyle w:val="Hyperlink"/>
          </w:rPr>
          <w:t>https://assets.cureus.com/uploads/original_article/pdf/22928/1612429213-1612429205-20210204-18204-14l5ome.pdf</w:t>
        </w:r>
      </w:hyperlink>
      <w:r w:rsidR="00302587">
        <w:t xml:space="preserve">) </w:t>
      </w:r>
      <w:r w:rsidR="00C53F1A">
        <w:t>[5].</w:t>
      </w:r>
    </w:p>
    <w:p w14:paraId="21155ED3" w14:textId="77777777" w:rsidR="009C7BFD" w:rsidRPr="00FF1F41" w:rsidRDefault="009C7BFD" w:rsidP="009C7BFD">
      <w:pPr>
        <w:pStyle w:val="Lijstalinea"/>
      </w:pPr>
    </w:p>
    <w:p w14:paraId="67E39699" w14:textId="77777777" w:rsidR="009C7BFD" w:rsidRPr="00FF1F41" w:rsidRDefault="009C7BFD" w:rsidP="009C7BFD">
      <w:pPr>
        <w:pStyle w:val="Geenafstand"/>
      </w:pPr>
    </w:p>
    <w:p w14:paraId="729B039A" w14:textId="64A0D516" w:rsidR="009C7BFD" w:rsidRDefault="009C7BFD" w:rsidP="009C7BFD">
      <w:pPr>
        <w:pStyle w:val="Geenafstand"/>
        <w:numPr>
          <w:ilvl w:val="0"/>
          <w:numId w:val="2"/>
        </w:numPr>
      </w:pPr>
      <w:proofErr w:type="spellStart"/>
      <w:r w:rsidRPr="00216F30">
        <w:t>Verma</w:t>
      </w:r>
      <w:proofErr w:type="spellEnd"/>
      <w:r w:rsidRPr="00216F30">
        <w:t xml:space="preserve">, N., </w:t>
      </w:r>
      <w:proofErr w:type="spellStart"/>
      <w:r w:rsidRPr="00216F30">
        <w:t>Gupta</w:t>
      </w:r>
      <w:proofErr w:type="spellEnd"/>
      <w:r w:rsidRPr="00216F30">
        <w:t xml:space="preserve">, S. K., </w:t>
      </w:r>
      <w:proofErr w:type="spellStart"/>
      <w:r w:rsidRPr="00216F30">
        <w:t>Tiwari</w:t>
      </w:r>
      <w:proofErr w:type="spellEnd"/>
      <w:r w:rsidRPr="00216F30">
        <w:t xml:space="preserve">, S., &amp; </w:t>
      </w:r>
      <w:proofErr w:type="spellStart"/>
      <w:r w:rsidRPr="00216F30">
        <w:t>Mishra</w:t>
      </w:r>
      <w:proofErr w:type="spellEnd"/>
      <w:r w:rsidRPr="00216F30">
        <w:t xml:space="preserve">, A. K. (2021). </w:t>
      </w:r>
      <w:r w:rsidRPr="009C7BFD">
        <w:rPr>
          <w:lang w:val="en-GB"/>
        </w:rPr>
        <w:t xml:space="preserve">Safety of ashwagandha root extract: a randomized, placebo-controlled, study in healthy volunteers. </w:t>
      </w:r>
      <w:proofErr w:type="spellStart"/>
      <w:r w:rsidRPr="009C7BFD">
        <w:t>Complementary</w:t>
      </w:r>
      <w:proofErr w:type="spellEnd"/>
      <w:r w:rsidRPr="009C7BFD">
        <w:t xml:space="preserve"> </w:t>
      </w:r>
      <w:proofErr w:type="spellStart"/>
      <w:r w:rsidRPr="009C7BFD">
        <w:t>therapies</w:t>
      </w:r>
      <w:proofErr w:type="spellEnd"/>
      <w:r w:rsidRPr="009C7BFD">
        <w:t xml:space="preserve"> in </w:t>
      </w:r>
      <w:proofErr w:type="spellStart"/>
      <w:r w:rsidRPr="009C7BFD">
        <w:t>medicine</w:t>
      </w:r>
      <w:proofErr w:type="spellEnd"/>
      <w:r w:rsidRPr="009C7BFD">
        <w:t>, 57, 102642.</w:t>
      </w:r>
    </w:p>
    <w:p w14:paraId="02A86D2E" w14:textId="77777777" w:rsidR="009C7BFD" w:rsidRDefault="009C7BFD" w:rsidP="009C7BFD">
      <w:pPr>
        <w:pStyle w:val="Geenafstand"/>
      </w:pPr>
    </w:p>
    <w:p w14:paraId="338474F7" w14:textId="1EC2E844" w:rsidR="009C7BFD" w:rsidRDefault="009C7BFD" w:rsidP="009C7BFD">
      <w:pPr>
        <w:pStyle w:val="Geenafstand"/>
        <w:numPr>
          <w:ilvl w:val="0"/>
          <w:numId w:val="2"/>
        </w:numPr>
      </w:pPr>
      <w:proofErr w:type="spellStart"/>
      <w:r w:rsidRPr="009C7BFD">
        <w:t>Raut</w:t>
      </w:r>
      <w:proofErr w:type="spellEnd"/>
      <w:r w:rsidRPr="009C7BFD">
        <w:t xml:space="preserve"> AA, </w:t>
      </w:r>
      <w:proofErr w:type="spellStart"/>
      <w:r w:rsidRPr="009C7BFD">
        <w:t>Rege</w:t>
      </w:r>
      <w:proofErr w:type="spellEnd"/>
      <w:r w:rsidRPr="009C7BFD">
        <w:t xml:space="preserve"> NN, </w:t>
      </w:r>
      <w:proofErr w:type="spellStart"/>
      <w:r w:rsidRPr="009C7BFD">
        <w:t>Tadvi</w:t>
      </w:r>
      <w:proofErr w:type="spellEnd"/>
      <w:r w:rsidRPr="009C7BFD">
        <w:t xml:space="preserve"> FM, </w:t>
      </w:r>
      <w:proofErr w:type="spellStart"/>
      <w:r w:rsidRPr="009C7BFD">
        <w:t>Solanki</w:t>
      </w:r>
      <w:proofErr w:type="spellEnd"/>
      <w:r w:rsidRPr="009C7BFD">
        <w:t xml:space="preserve"> PV, </w:t>
      </w:r>
      <w:proofErr w:type="spellStart"/>
      <w:r w:rsidRPr="009C7BFD">
        <w:t>Kene</w:t>
      </w:r>
      <w:proofErr w:type="spellEnd"/>
      <w:r w:rsidRPr="009C7BFD">
        <w:t xml:space="preserve"> KR, </w:t>
      </w:r>
      <w:proofErr w:type="spellStart"/>
      <w:r w:rsidRPr="009C7BFD">
        <w:t>Shirolkar</w:t>
      </w:r>
      <w:proofErr w:type="spellEnd"/>
      <w:r w:rsidRPr="009C7BFD">
        <w:t xml:space="preserve"> SG, </w:t>
      </w:r>
      <w:proofErr w:type="spellStart"/>
      <w:r w:rsidRPr="009C7BFD">
        <w:t>Pandey</w:t>
      </w:r>
      <w:proofErr w:type="spellEnd"/>
      <w:r w:rsidRPr="009C7BFD">
        <w:t xml:space="preserve"> SN, </w:t>
      </w:r>
      <w:proofErr w:type="spellStart"/>
      <w:r w:rsidRPr="009C7BFD">
        <w:t>Vaidya</w:t>
      </w:r>
      <w:proofErr w:type="spellEnd"/>
      <w:r w:rsidRPr="009C7BFD">
        <w:t xml:space="preserve"> RA, </w:t>
      </w:r>
      <w:proofErr w:type="spellStart"/>
      <w:r w:rsidRPr="009C7BFD">
        <w:t>Vaidya</w:t>
      </w:r>
      <w:proofErr w:type="spellEnd"/>
      <w:r w:rsidRPr="009C7BFD">
        <w:t xml:space="preserve"> AB. </w:t>
      </w:r>
      <w:r w:rsidRPr="009C7BFD">
        <w:rPr>
          <w:lang w:val="en-GB"/>
        </w:rPr>
        <w:t>Exploratory study to evaluate tolerability, safety, and activity of Ashwagandha (</w:t>
      </w:r>
      <w:proofErr w:type="spellStart"/>
      <w:r w:rsidRPr="009C7BFD">
        <w:rPr>
          <w:lang w:val="en-GB"/>
        </w:rPr>
        <w:t>Withania</w:t>
      </w:r>
      <w:proofErr w:type="spellEnd"/>
      <w:r w:rsidRPr="009C7BFD">
        <w:rPr>
          <w:lang w:val="en-GB"/>
        </w:rPr>
        <w:t xml:space="preserve"> </w:t>
      </w:r>
      <w:proofErr w:type="spellStart"/>
      <w:r w:rsidRPr="009C7BFD">
        <w:rPr>
          <w:lang w:val="en-GB"/>
        </w:rPr>
        <w:t>somnifera</w:t>
      </w:r>
      <w:proofErr w:type="spellEnd"/>
      <w:r w:rsidRPr="009C7BFD">
        <w:rPr>
          <w:lang w:val="en-GB"/>
        </w:rPr>
        <w:t xml:space="preserve">) in healthy volunteers. </w:t>
      </w:r>
      <w:r w:rsidRPr="009C7BFD">
        <w:t xml:space="preserve">J Ayurveda </w:t>
      </w:r>
      <w:proofErr w:type="spellStart"/>
      <w:r w:rsidRPr="009C7BFD">
        <w:t>Integr</w:t>
      </w:r>
      <w:proofErr w:type="spellEnd"/>
      <w:r w:rsidRPr="009C7BFD">
        <w:t xml:space="preserve"> </w:t>
      </w:r>
      <w:proofErr w:type="spellStart"/>
      <w:r w:rsidRPr="009C7BFD">
        <w:t>Med</w:t>
      </w:r>
      <w:proofErr w:type="spellEnd"/>
      <w:r w:rsidRPr="009C7BFD">
        <w:t xml:space="preserve">. 2012 Jul;3(3):111-4. </w:t>
      </w:r>
      <w:proofErr w:type="spellStart"/>
      <w:r w:rsidRPr="009C7BFD">
        <w:t>doi</w:t>
      </w:r>
      <w:proofErr w:type="spellEnd"/>
      <w:r w:rsidRPr="009C7BFD">
        <w:t>: 10.4103/0975-9476.100168. PMID: 23125505; PMCID: PMC3487234.</w:t>
      </w:r>
    </w:p>
    <w:p w14:paraId="1EB01DDA" w14:textId="77777777" w:rsidR="00707446" w:rsidRDefault="00707446" w:rsidP="00707446">
      <w:pPr>
        <w:pStyle w:val="Lijstalinea"/>
      </w:pPr>
    </w:p>
    <w:p w14:paraId="000A1ABB" w14:textId="62F1572D" w:rsidR="00707446" w:rsidRDefault="00707446" w:rsidP="009C7BFD">
      <w:pPr>
        <w:pStyle w:val="Geenafstand"/>
        <w:numPr>
          <w:ilvl w:val="0"/>
          <w:numId w:val="2"/>
        </w:numPr>
      </w:pPr>
      <w:r w:rsidRPr="00707446">
        <w:rPr>
          <w:lang w:val="en-GB"/>
        </w:rPr>
        <w:t xml:space="preserve">Mishra, L. C., Singh, B. B., &amp; Dagenais, S. (2000). Scientific basis for the therapeutic use of </w:t>
      </w:r>
      <w:proofErr w:type="spellStart"/>
      <w:r w:rsidRPr="00707446">
        <w:rPr>
          <w:lang w:val="en-GB"/>
        </w:rPr>
        <w:t>Withania</w:t>
      </w:r>
      <w:proofErr w:type="spellEnd"/>
      <w:r w:rsidRPr="00707446">
        <w:rPr>
          <w:lang w:val="en-GB"/>
        </w:rPr>
        <w:t xml:space="preserve"> </w:t>
      </w:r>
      <w:proofErr w:type="spellStart"/>
      <w:r w:rsidRPr="00707446">
        <w:rPr>
          <w:lang w:val="en-GB"/>
        </w:rPr>
        <w:t>somnifera</w:t>
      </w:r>
      <w:proofErr w:type="spellEnd"/>
      <w:r w:rsidRPr="00707446">
        <w:rPr>
          <w:lang w:val="en-GB"/>
        </w:rPr>
        <w:t xml:space="preserve"> (ashwagandha): a review. </w:t>
      </w:r>
      <w:proofErr w:type="spellStart"/>
      <w:r w:rsidRPr="00707446">
        <w:t>Alternative</w:t>
      </w:r>
      <w:proofErr w:type="spellEnd"/>
      <w:r w:rsidRPr="00707446">
        <w:t xml:space="preserve"> </w:t>
      </w:r>
      <w:proofErr w:type="spellStart"/>
      <w:r w:rsidRPr="00707446">
        <w:t>medicine</w:t>
      </w:r>
      <w:proofErr w:type="spellEnd"/>
      <w:r w:rsidRPr="00707446">
        <w:t xml:space="preserve"> review, 5(4), 334-346.</w:t>
      </w:r>
    </w:p>
    <w:p w14:paraId="73E25EC1" w14:textId="77777777" w:rsidR="003C2ED1" w:rsidRDefault="003C2ED1" w:rsidP="003C2ED1">
      <w:pPr>
        <w:pStyle w:val="Lijstalinea"/>
      </w:pPr>
    </w:p>
    <w:p w14:paraId="4F11AB38" w14:textId="50A717ED" w:rsidR="003C2ED1" w:rsidRPr="00216F30" w:rsidRDefault="00BD4630" w:rsidP="009C7BFD">
      <w:pPr>
        <w:pStyle w:val="Geenafstand"/>
        <w:numPr>
          <w:ilvl w:val="0"/>
          <w:numId w:val="2"/>
        </w:numPr>
        <w:rPr>
          <w:sz w:val="24"/>
          <w:szCs w:val="24"/>
          <w:lang w:val="en-US"/>
        </w:rPr>
      </w:pPr>
      <w:r w:rsidRPr="00662182">
        <w:rPr>
          <w:rFonts w:cs="Arial"/>
          <w:color w:val="222222"/>
          <w:shd w:val="clear" w:color="auto" w:fill="FFFFFF"/>
          <w:lang w:val="en-GB"/>
        </w:rPr>
        <w:t xml:space="preserve">Zahiruddin, S., </w:t>
      </w:r>
      <w:proofErr w:type="spellStart"/>
      <w:r w:rsidRPr="00662182">
        <w:rPr>
          <w:rFonts w:cs="Arial"/>
          <w:color w:val="222222"/>
          <w:shd w:val="clear" w:color="auto" w:fill="FFFFFF"/>
          <w:lang w:val="en-GB"/>
        </w:rPr>
        <w:t>Basist</w:t>
      </w:r>
      <w:proofErr w:type="spellEnd"/>
      <w:r w:rsidRPr="00662182">
        <w:rPr>
          <w:rFonts w:cs="Arial"/>
          <w:color w:val="222222"/>
          <w:shd w:val="clear" w:color="auto" w:fill="FFFFFF"/>
          <w:lang w:val="en-GB"/>
        </w:rPr>
        <w:t>, P., Parveen, A., Parveen, R., Khan, W., &amp; Ahmad, S. (2020). Ashwagandha in brain disorders: A review of recent developments. </w:t>
      </w:r>
      <w:r w:rsidRPr="00216F30">
        <w:rPr>
          <w:rFonts w:cs="Arial"/>
          <w:i/>
          <w:iCs/>
          <w:color w:val="222222"/>
          <w:shd w:val="clear" w:color="auto" w:fill="FFFFFF"/>
          <w:lang w:val="en-US"/>
        </w:rPr>
        <w:t>Journal of ethnopharmacology</w:t>
      </w:r>
      <w:r w:rsidRPr="00216F30">
        <w:rPr>
          <w:rFonts w:cs="Arial"/>
          <w:color w:val="222222"/>
          <w:shd w:val="clear" w:color="auto" w:fill="FFFFFF"/>
          <w:lang w:val="en-US"/>
        </w:rPr>
        <w:t>, </w:t>
      </w:r>
      <w:r w:rsidRPr="00216F30">
        <w:rPr>
          <w:rFonts w:cs="Arial"/>
          <w:i/>
          <w:iCs/>
          <w:color w:val="222222"/>
          <w:shd w:val="clear" w:color="auto" w:fill="FFFFFF"/>
          <w:lang w:val="en-US"/>
        </w:rPr>
        <w:t>257</w:t>
      </w:r>
      <w:r w:rsidRPr="00216F30">
        <w:rPr>
          <w:rFonts w:cs="Arial"/>
          <w:color w:val="222222"/>
          <w:shd w:val="clear" w:color="auto" w:fill="FFFFFF"/>
          <w:lang w:val="en-US"/>
        </w:rPr>
        <w:t>, 112876.</w:t>
      </w:r>
    </w:p>
    <w:p w14:paraId="79EBDE5D" w14:textId="77777777" w:rsidR="00C53F1A" w:rsidRPr="00216F30" w:rsidRDefault="00C53F1A" w:rsidP="00C53F1A">
      <w:pPr>
        <w:pStyle w:val="Lijstalinea"/>
        <w:rPr>
          <w:lang w:val="en-US"/>
        </w:rPr>
      </w:pPr>
    </w:p>
    <w:p w14:paraId="0528665E" w14:textId="766E9816" w:rsidR="00C53F1A" w:rsidRPr="009C7BFD" w:rsidRDefault="00C53F1A" w:rsidP="009C7BFD">
      <w:pPr>
        <w:pStyle w:val="Geenafstand"/>
        <w:numPr>
          <w:ilvl w:val="0"/>
          <w:numId w:val="2"/>
        </w:numPr>
      </w:pPr>
      <w:proofErr w:type="spellStart"/>
      <w:r w:rsidRPr="00216F30">
        <w:rPr>
          <w:lang w:val="en-US"/>
        </w:rPr>
        <w:lastRenderedPageBreak/>
        <w:t>Langade</w:t>
      </w:r>
      <w:proofErr w:type="spellEnd"/>
      <w:r w:rsidRPr="00216F30">
        <w:rPr>
          <w:lang w:val="en-US"/>
        </w:rPr>
        <w:t xml:space="preserve">, D., Kanchi, S., Salve, J., Debnath, K., </w:t>
      </w:r>
      <w:proofErr w:type="spellStart"/>
      <w:r w:rsidRPr="00216F30">
        <w:rPr>
          <w:lang w:val="en-US"/>
        </w:rPr>
        <w:t>Ambegaokar</w:t>
      </w:r>
      <w:proofErr w:type="spellEnd"/>
      <w:r w:rsidRPr="00216F30">
        <w:rPr>
          <w:lang w:val="en-US"/>
        </w:rPr>
        <w:t xml:space="preserve">, D., &amp; </w:t>
      </w:r>
      <w:proofErr w:type="spellStart"/>
      <w:r w:rsidRPr="00216F30">
        <w:rPr>
          <w:lang w:val="en-US"/>
        </w:rPr>
        <w:t>Langade</w:t>
      </w:r>
      <w:proofErr w:type="spellEnd"/>
      <w:r w:rsidRPr="00216F30">
        <w:rPr>
          <w:lang w:val="en-US"/>
        </w:rPr>
        <w:t xml:space="preserve">, D. G. (2019). </w:t>
      </w:r>
      <w:r w:rsidRPr="00C53F1A">
        <w:rPr>
          <w:lang w:val="en-GB"/>
        </w:rPr>
        <w:t>Efficacy and safety of Ashwagandha (</w:t>
      </w:r>
      <w:proofErr w:type="spellStart"/>
      <w:r w:rsidRPr="00C53F1A">
        <w:rPr>
          <w:lang w:val="en-GB"/>
        </w:rPr>
        <w:t>Withania</w:t>
      </w:r>
      <w:proofErr w:type="spellEnd"/>
      <w:r w:rsidRPr="00C53F1A">
        <w:rPr>
          <w:lang w:val="en-GB"/>
        </w:rPr>
        <w:t xml:space="preserve"> </w:t>
      </w:r>
      <w:proofErr w:type="spellStart"/>
      <w:r w:rsidRPr="00C53F1A">
        <w:rPr>
          <w:lang w:val="en-GB"/>
        </w:rPr>
        <w:t>somnifera</w:t>
      </w:r>
      <w:proofErr w:type="spellEnd"/>
      <w:r w:rsidRPr="00C53F1A">
        <w:rPr>
          <w:lang w:val="en-GB"/>
        </w:rPr>
        <w:t xml:space="preserve">) root extract in insomnia and anxiety: a double-blind, randomized, placebo-controlled study. </w:t>
      </w:r>
      <w:proofErr w:type="spellStart"/>
      <w:r w:rsidRPr="00C53F1A">
        <w:t>Cureus</w:t>
      </w:r>
      <w:proofErr w:type="spellEnd"/>
      <w:r w:rsidRPr="00C53F1A">
        <w:t>, 11(9).</w:t>
      </w:r>
    </w:p>
    <w:p w14:paraId="3EE8C527" w14:textId="77777777" w:rsidR="009C7BFD" w:rsidRDefault="009C7BFD" w:rsidP="009C7BFD">
      <w:pPr>
        <w:pStyle w:val="Geenafstand"/>
      </w:pPr>
    </w:p>
    <w:p w14:paraId="75D1184D" w14:textId="77777777" w:rsidR="009C7BFD" w:rsidRDefault="009C7BFD" w:rsidP="009C7BFD">
      <w:pPr>
        <w:pStyle w:val="Geenafstand"/>
        <w:rPr>
          <w:lang w:val="en-GB"/>
        </w:rPr>
      </w:pPr>
    </w:p>
    <w:p w14:paraId="66A7812C"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r w:rsidRPr="009C7BFD">
        <w:rPr>
          <w:rFonts w:ascii="IBM Plex Sans" w:eastAsia="Times New Roman" w:hAnsi="IBM Plex Sans" w:cs="Times New Roman"/>
          <w:color w:val="1E1D1A"/>
          <w:kern w:val="0"/>
          <w:sz w:val="24"/>
          <w:szCs w:val="24"/>
          <w:shd w:val="clear" w:color="auto" w:fill="FFFFFF"/>
          <w:lang w:val="en-GB" w:eastAsia="nl-NL"/>
          <w14:ligatures w14:val="none"/>
        </w:rPr>
        <w:t>Ashwagandha, a herb commonly used in traditional medicine, has been the focus of numerous studies evaluating its safety and efficacy. While some sources indicate that Ashwagandha and its components are generally safe for consumption (</w:t>
      </w:r>
      <w:proofErr w:type="spellStart"/>
      <w:r w:rsidRPr="009C7BFD">
        <w:rPr>
          <w:rFonts w:ascii="IBM Plex Sans" w:eastAsia="Times New Roman" w:hAnsi="IBM Plex Sans" w:cs="Times New Roman"/>
          <w:color w:val="1E1D1A"/>
          <w:kern w:val="0"/>
          <w:sz w:val="24"/>
          <w:szCs w:val="24"/>
          <w:shd w:val="clear" w:color="auto" w:fill="FFFFFF"/>
          <w:lang w:val="en-GB" w:eastAsia="nl-NL"/>
          <w14:ligatures w14:val="none"/>
        </w:rPr>
        <w:t>Shohag</w:t>
      </w:r>
      <w:proofErr w:type="spellEnd"/>
      <w:r w:rsidRPr="009C7BFD">
        <w:rPr>
          <w:rFonts w:ascii="IBM Plex Sans" w:eastAsia="Times New Roman" w:hAnsi="IBM Plex Sans" w:cs="Times New Roman"/>
          <w:color w:val="1E1D1A"/>
          <w:kern w:val="0"/>
          <w:sz w:val="24"/>
          <w:szCs w:val="24"/>
          <w:shd w:val="clear" w:color="auto" w:fill="FFFFFF"/>
          <w:lang w:val="en-GB" w:eastAsia="nl-NL"/>
          <w14:ligatures w14:val="none"/>
        </w:rPr>
        <w:t xml:space="preserve"> et al., 2022; Siddiqui et al., 2021; Trivedi, 2017), there are reports linking its usage to potential risks. Specifically, instances of drug-induced liver injury (DILI) have been associated with Ashwagandha consumption (Patel et al., 2022; Bokan, 2023). Despite these reported cases, Ashwagandha is still considered safe by many (Cheah et al., 2021; Gopal et al., 2021).</w:t>
      </w:r>
    </w:p>
    <w:p w14:paraId="43136514"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p>
    <w:p w14:paraId="5A197FEA"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r w:rsidRPr="009C7BFD">
        <w:rPr>
          <w:rFonts w:ascii="IBM Plex Sans" w:eastAsia="Times New Roman" w:hAnsi="IBM Plex Sans" w:cs="Times New Roman"/>
          <w:color w:val="1E1D1A"/>
          <w:kern w:val="0"/>
          <w:sz w:val="24"/>
          <w:szCs w:val="24"/>
          <w:shd w:val="clear" w:color="auto" w:fill="FFFFFF"/>
          <w:lang w:val="en-GB" w:eastAsia="nl-NL"/>
          <w14:ligatures w14:val="none"/>
        </w:rPr>
        <w:t>Research has highlighted various benefits of Ashwagandha, including its adaptogenic properties, stress-relieving effects, and ability to improve sleep quality (Cheah et al., 2021; Mazur et al., 2021; Salve et al., 2019). Moreover, Ashwagandha has shown positive effects on cardiorespiratory endurance, muscle strengthening, and immune modulation (Choudhary et al., 2015; Majeed, 2023; Raut et al., 2012). Additionally, studies suggest that Ashwagandha can be safely used alongside certain medications, indicating its compatibility with other treatments (</w:t>
      </w:r>
      <w:proofErr w:type="spellStart"/>
      <w:r w:rsidRPr="009C7BFD">
        <w:rPr>
          <w:rFonts w:ascii="IBM Plex Sans" w:eastAsia="Times New Roman" w:hAnsi="IBM Plex Sans" w:cs="Times New Roman"/>
          <w:color w:val="1E1D1A"/>
          <w:kern w:val="0"/>
          <w:sz w:val="24"/>
          <w:szCs w:val="24"/>
          <w:shd w:val="clear" w:color="auto" w:fill="FFFFFF"/>
          <w:lang w:val="en-GB" w:eastAsia="nl-NL"/>
          <w14:ligatures w14:val="none"/>
        </w:rPr>
        <w:t>Kasarla</w:t>
      </w:r>
      <w:proofErr w:type="spellEnd"/>
      <w:r w:rsidRPr="009C7BFD">
        <w:rPr>
          <w:rFonts w:ascii="IBM Plex Sans" w:eastAsia="Times New Roman" w:hAnsi="IBM Plex Sans" w:cs="Times New Roman"/>
          <w:color w:val="1E1D1A"/>
          <w:kern w:val="0"/>
          <w:sz w:val="24"/>
          <w:szCs w:val="24"/>
          <w:shd w:val="clear" w:color="auto" w:fill="FFFFFF"/>
          <w:lang w:val="en-GB" w:eastAsia="nl-NL"/>
          <w14:ligatures w14:val="none"/>
        </w:rPr>
        <w:t xml:space="preserve"> et al., 2022; Wang et al., 2021).</w:t>
      </w:r>
    </w:p>
    <w:p w14:paraId="1F4D1112"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p>
    <w:p w14:paraId="6A94A9F1"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r w:rsidRPr="009C7BFD">
        <w:rPr>
          <w:rFonts w:ascii="IBM Plex Sans" w:eastAsia="Times New Roman" w:hAnsi="IBM Plex Sans" w:cs="Times New Roman"/>
          <w:color w:val="1E1D1A"/>
          <w:kern w:val="0"/>
          <w:sz w:val="24"/>
          <w:szCs w:val="24"/>
          <w:shd w:val="clear" w:color="auto" w:fill="FFFFFF"/>
          <w:lang w:val="en-GB" w:eastAsia="nl-NL"/>
          <w14:ligatures w14:val="none"/>
        </w:rPr>
        <w:t>Although Ashwagandha is generally perceived as safe and effective for managing stress, anxiety, and overall well-being (Burns, 2023; Patnaik, 2015), it is crucial to consider individual health conditions and potential interactions with other substances. Research indicates that Ashwagandha may have abortifacient properties in large doses and could act as a mild central nervous system depressant (Shukla et al., 2012). Therefore, it is advisable for individuals to consult healthcare professionals before incorporating Ashwagandha into their routine, especially if they have pre-existing health conditions or are taking medications that may interact with the herb.</w:t>
      </w:r>
    </w:p>
    <w:p w14:paraId="64486A8D"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p>
    <w:p w14:paraId="492C818F"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r w:rsidRPr="009C7BFD">
        <w:rPr>
          <w:rFonts w:ascii="IBM Plex Sans" w:eastAsia="Times New Roman" w:hAnsi="IBM Plex Sans" w:cs="Times New Roman"/>
          <w:color w:val="1E1D1A"/>
          <w:kern w:val="0"/>
          <w:sz w:val="24"/>
          <w:szCs w:val="24"/>
          <w:shd w:val="clear" w:color="auto" w:fill="FFFFFF"/>
          <w:lang w:val="en-GB" w:eastAsia="nl-NL"/>
          <w14:ligatures w14:val="none"/>
        </w:rPr>
        <w:t>In conclusion, while Ashwagandha is widely regarded as safe and beneficial for various health purposes, caution should be exercised, particularly in cases where there may be underlying health concerns or the potential for interactions with other substances.</w:t>
      </w:r>
    </w:p>
    <w:p w14:paraId="4B7318B9"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p>
    <w:p w14:paraId="19885FE1" w14:textId="77777777" w:rsidR="009C7BFD" w:rsidRPr="009C7BFD" w:rsidRDefault="009C7BFD" w:rsidP="009C7BFD">
      <w:pPr>
        <w:spacing w:after="0" w:line="240" w:lineRule="auto"/>
        <w:rPr>
          <w:rFonts w:ascii="IBM Plex Sans" w:eastAsia="Times New Roman" w:hAnsi="IBM Plex Sans" w:cs="Times New Roman"/>
          <w:color w:val="1E1D1A"/>
          <w:kern w:val="0"/>
          <w:sz w:val="24"/>
          <w:szCs w:val="24"/>
          <w:shd w:val="clear" w:color="auto" w:fill="FFFFFF"/>
          <w:lang w:val="en-GB" w:eastAsia="nl-NL"/>
          <w14:ligatures w14:val="none"/>
        </w:rPr>
      </w:pPr>
      <w:r w:rsidRPr="009C7BFD">
        <w:rPr>
          <w:rFonts w:ascii="IBM Plex Sans" w:eastAsia="Times New Roman" w:hAnsi="IBM Plex Sans" w:cs="Times New Roman"/>
          <w:color w:val="1E1D1A"/>
          <w:kern w:val="0"/>
          <w:sz w:val="24"/>
          <w:szCs w:val="24"/>
          <w:shd w:val="clear" w:color="auto" w:fill="FFFFFF"/>
          <w:lang w:val="en-GB" w:eastAsia="nl-NL"/>
          <w14:ligatures w14:val="none"/>
        </w:rPr>
        <w:t>References:</w:t>
      </w:r>
    </w:p>
    <w:p w14:paraId="1FD2F915"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Bokan, G. (2023). Herb-induced liver injury by ayurvedic ashwagandha as assessed for causality by the updated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rucam</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an emerging cause. Pharmaceuticals, 16(8), 1129. https://doi.org/10.3390/ph16081129</w:t>
      </w:r>
    </w:p>
    <w:p w14:paraId="7BAA52E6"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Burns, J. (2023). Common herbs for stress: the science and strategy of a botanical medicine approach to self-care. Journal of Interprofessional Education &amp; Practice, 30, 100592. https://doi.org/10.1016/j.xjep.2022.100592</w:t>
      </w:r>
    </w:p>
    <w:p w14:paraId="503B2B34"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lastRenderedPageBreak/>
        <w:t xml:space="preserve">Cheah, K.,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Norhayati</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M., Yaacob, L., &amp; Rahman, R. (2021). Effect of ashwagandha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withania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somnifera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extract on sleep: a systematic review and meta-analysis.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Plos</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One, 16(9), e0257843. https://doi.org/10.1371/journal.pone.0257843</w:t>
      </w:r>
    </w:p>
    <w:p w14:paraId="08F5483B"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Choudhary, B., Shetty, A.,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Langade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D. (2015). Efficacy of ashwagandha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withania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somnifera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[l.]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dunal</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in improving cardiorespiratory endurance in healthy athletic adults. Ayu (An International Quarterly Journal of Research in Ayurveda), 36(1), 63. https://doi.org/10.4103/0974-8520.169002</w:t>
      </w:r>
    </w:p>
    <w:p w14:paraId="44E0A6D9"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Gabay, C., Medinger-Sadowski, C., Gascon, D., Kolo, F.,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Finckh</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A. (2011). Symptomatic effects of chondroitin 4 and chondroitin 6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sulfate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on hand osteoarthritis: a randomized, double</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blind, placebo</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controlled clinical trial at a single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center</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Arthritis &amp; Rheumatism, 63(11), 3383-3391. https://doi.org/10.1002/art.30574</w:t>
      </w:r>
    </w:p>
    <w:p w14:paraId="796D9B22"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Gopal, S., Ajgaonkar, A., Kanchi, 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Kaundinya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A., Thakare, V., Chauhan, S., …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Langade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D. (2021). Effect of an ashwagandha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withania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somnifera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root extract on climacteric symptoms in women during perimenopause: a randomized, double</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blind, placebo</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controlled study. Journal of Obstetrics and Gynaecology Research, 47(12), 4414-4425. https://doi.org/10.1111/jog.15030</w:t>
      </w:r>
    </w:p>
    <w:p w14:paraId="7CE5726A"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s-ES" w:eastAsia="nl-NL"/>
          <w14:ligatures w14:val="none"/>
        </w:rPr>
      </w:pPr>
      <w:proofErr w:type="spellStart"/>
      <w:r w:rsidRPr="009C7BFD">
        <w:rPr>
          <w:rFonts w:ascii="IBM Plex Sans" w:eastAsia="Times New Roman" w:hAnsi="IBM Plex Sans" w:cs="Times New Roman"/>
          <w:color w:val="1E1D1A"/>
          <w:kern w:val="0"/>
          <w:sz w:val="18"/>
          <w:szCs w:val="18"/>
          <w:shd w:val="clear" w:color="auto" w:fill="FFFFFF"/>
          <w:lang w:val="de-DE" w:eastAsia="nl-NL"/>
          <w14:ligatures w14:val="none"/>
        </w:rPr>
        <w:t>Hovinen</w:t>
      </w:r>
      <w:proofErr w:type="spellEnd"/>
      <w:r w:rsidRPr="009C7BFD">
        <w:rPr>
          <w:rFonts w:ascii="IBM Plex Sans" w:eastAsia="Times New Roman" w:hAnsi="IBM Plex Sans" w:cs="Times New Roman"/>
          <w:color w:val="1E1D1A"/>
          <w:kern w:val="0"/>
          <w:sz w:val="18"/>
          <w:szCs w:val="18"/>
          <w:shd w:val="clear" w:color="auto" w:fill="FFFFFF"/>
          <w:lang w:val="de-DE" w:eastAsia="nl-NL"/>
          <w14:ligatures w14:val="none"/>
        </w:rPr>
        <w:t xml:space="preserve">, T., </w:t>
      </w:r>
      <w:proofErr w:type="spellStart"/>
      <w:r w:rsidRPr="009C7BFD">
        <w:rPr>
          <w:rFonts w:ascii="IBM Plex Sans" w:eastAsia="Times New Roman" w:hAnsi="IBM Plex Sans" w:cs="Times New Roman"/>
          <w:color w:val="1E1D1A"/>
          <w:kern w:val="0"/>
          <w:sz w:val="18"/>
          <w:szCs w:val="18"/>
          <w:shd w:val="clear" w:color="auto" w:fill="FFFFFF"/>
          <w:lang w:val="de-DE" w:eastAsia="nl-NL"/>
          <w14:ligatures w14:val="none"/>
        </w:rPr>
        <w:t>Korkalo</w:t>
      </w:r>
      <w:proofErr w:type="spellEnd"/>
      <w:r w:rsidRPr="009C7BFD">
        <w:rPr>
          <w:rFonts w:ascii="IBM Plex Sans" w:eastAsia="Times New Roman" w:hAnsi="IBM Plex Sans" w:cs="Times New Roman"/>
          <w:color w:val="1E1D1A"/>
          <w:kern w:val="0"/>
          <w:sz w:val="18"/>
          <w:szCs w:val="18"/>
          <w:shd w:val="clear" w:color="auto" w:fill="FFFFFF"/>
          <w:lang w:val="de-DE" w:eastAsia="nl-NL"/>
          <w14:ligatures w14:val="none"/>
        </w:rPr>
        <w:t xml:space="preserve">, L., Freese, R., </w:t>
      </w:r>
      <w:proofErr w:type="spellStart"/>
      <w:r w:rsidRPr="009C7BFD">
        <w:rPr>
          <w:rFonts w:ascii="IBM Plex Sans" w:eastAsia="Times New Roman" w:hAnsi="IBM Plex Sans" w:cs="Times New Roman"/>
          <w:color w:val="1E1D1A"/>
          <w:kern w:val="0"/>
          <w:sz w:val="18"/>
          <w:szCs w:val="18"/>
          <w:shd w:val="clear" w:color="auto" w:fill="FFFFFF"/>
          <w:lang w:val="de-DE" w:eastAsia="nl-NL"/>
          <w14:ligatures w14:val="none"/>
        </w:rPr>
        <w:t>Skaffari</w:t>
      </w:r>
      <w:proofErr w:type="spellEnd"/>
      <w:r w:rsidRPr="009C7BFD">
        <w:rPr>
          <w:rFonts w:ascii="IBM Plex Sans" w:eastAsia="Times New Roman" w:hAnsi="IBM Plex Sans" w:cs="Times New Roman"/>
          <w:color w:val="1E1D1A"/>
          <w:kern w:val="0"/>
          <w:sz w:val="18"/>
          <w:szCs w:val="18"/>
          <w:shd w:val="clear" w:color="auto" w:fill="FFFFFF"/>
          <w:lang w:val="de-DE" w:eastAsia="nl-NL"/>
          <w14:ligatures w14:val="none"/>
        </w:rPr>
        <w:t xml:space="preserve">, E., </w:t>
      </w:r>
      <w:proofErr w:type="spellStart"/>
      <w:r w:rsidRPr="009C7BFD">
        <w:rPr>
          <w:rFonts w:ascii="IBM Plex Sans" w:eastAsia="Times New Roman" w:hAnsi="IBM Plex Sans" w:cs="Times New Roman"/>
          <w:color w:val="1E1D1A"/>
          <w:kern w:val="0"/>
          <w:sz w:val="18"/>
          <w:szCs w:val="18"/>
          <w:shd w:val="clear" w:color="auto" w:fill="FFFFFF"/>
          <w:lang w:val="de-DE" w:eastAsia="nl-NL"/>
          <w14:ligatures w14:val="none"/>
        </w:rPr>
        <w:t>Isohanni</w:t>
      </w:r>
      <w:proofErr w:type="spellEnd"/>
      <w:r w:rsidRPr="009C7BFD">
        <w:rPr>
          <w:rFonts w:ascii="IBM Plex Sans" w:eastAsia="Times New Roman" w:hAnsi="IBM Plex Sans" w:cs="Times New Roman"/>
          <w:color w:val="1E1D1A"/>
          <w:kern w:val="0"/>
          <w:sz w:val="18"/>
          <w:szCs w:val="18"/>
          <w:shd w:val="clear" w:color="auto" w:fill="FFFFFF"/>
          <w:lang w:val="de-DE" w:eastAsia="nl-NL"/>
          <w14:ligatures w14:val="none"/>
        </w:rPr>
        <w:t xml:space="preserve">, P., Niemi, M., … </w:t>
      </w: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&amp; Suomalainen, A. (2021). Vegan diet in young children remodels metabolism and challenges the statuses of essential nutrients. </w:t>
      </w:r>
      <w:r w:rsidRPr="009C7BFD">
        <w:rPr>
          <w:rFonts w:ascii="IBM Plex Sans" w:eastAsia="Times New Roman" w:hAnsi="IBM Plex Sans" w:cs="Times New Roman"/>
          <w:color w:val="1E1D1A"/>
          <w:kern w:val="0"/>
          <w:sz w:val="18"/>
          <w:szCs w:val="18"/>
          <w:shd w:val="clear" w:color="auto" w:fill="FFFFFF"/>
          <w:lang w:val="es-ES" w:eastAsia="nl-NL"/>
          <w14:ligatures w14:val="none"/>
        </w:rPr>
        <w:t>Embo Molecular Medicine, 13(2). https://doi.org/10.15252/emmm.202013492</w:t>
      </w:r>
    </w:p>
    <w:p w14:paraId="09635182"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s-ES" w:eastAsia="nl-NL"/>
          <w14:ligatures w14:val="none"/>
        </w:rPr>
        <w:t xml:space="preserve">Jomphe, C., Gabriac, M., Hale, T., Héroux, L., Trudeau, L., deBlois, D., … </w:t>
      </w: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Souich</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P. (2007). Chondroitin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sulfate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inhibits the nuclear translocation of nuclear factor</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IBM Plex Sans"/>
          <w:color w:val="1E1D1A"/>
          <w:kern w:val="0"/>
          <w:sz w:val="18"/>
          <w:szCs w:val="18"/>
          <w:shd w:val="clear" w:color="auto" w:fill="FFFFFF"/>
          <w:lang w:eastAsia="nl-NL"/>
          <w14:ligatures w14:val="none"/>
        </w:rPr>
        <w:t>κ</w:t>
      </w:r>
      <w:r w:rsidRPr="009C7BFD">
        <w:rPr>
          <w:rFonts w:ascii="IBM Plex Sans" w:eastAsia="Times New Roman" w:hAnsi="IBM Plex Sans" w:cs="Times New Roman"/>
          <w:color w:val="1E1D1A"/>
          <w:kern w:val="0"/>
          <w:sz w:val="18"/>
          <w:szCs w:val="18"/>
          <w:shd w:val="clear" w:color="auto" w:fill="FFFFFF"/>
          <w:lang w:val="en-GB" w:eastAsia="nl-NL"/>
          <w14:ligatures w14:val="none"/>
        </w:rPr>
        <w:t>b in interleukin</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1</w:t>
      </w:r>
      <w:r w:rsidRPr="009C7BFD">
        <w:rPr>
          <w:rFonts w:ascii="IBM Plex Sans" w:eastAsia="Times New Roman" w:hAnsi="IBM Plex Sans" w:cs="IBM Plex Sans"/>
          <w:color w:val="1E1D1A"/>
          <w:kern w:val="0"/>
          <w:sz w:val="18"/>
          <w:szCs w:val="18"/>
          <w:shd w:val="clear" w:color="auto" w:fill="FFFFFF"/>
          <w:lang w:eastAsia="nl-NL"/>
          <w14:ligatures w14:val="none"/>
        </w:rPr>
        <w:t>β</w:t>
      </w:r>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stimulated chondrocytes. Basic &amp; Clinical Pharmacology &amp; Toxicology, 102(1), 59-65. https://doi.org/10.1111/j.1742-7843.2007.00158.x</w:t>
      </w:r>
    </w:p>
    <w:p w14:paraId="423AAB96"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Kasarla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S., Borse, S., Kumar, Y., Sharma, N., &amp; Dikshit, M. (2022). In vitro effect of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withania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somnifera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ayush-64, and remdesivir on the activity of cyp-450 enzymes: implications for possible herb−drug interactions in the management of covid-19. Frontiers in Pharmacology, 13. https://doi.org/10.3389/fphar.2022.973768</w:t>
      </w:r>
    </w:p>
    <w:p w14:paraId="5FD57EA5"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de-DE"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Majeed, M. (2023). A standardized ashwagandha root extract alleviates stress, anxiety, and improves quality of life in healthy adults by modulating stress hormones: results from a randomized, double-blind, placebo-controlled study. </w:t>
      </w:r>
      <w:r w:rsidRPr="009C7BFD">
        <w:rPr>
          <w:rFonts w:ascii="IBM Plex Sans" w:eastAsia="Times New Roman" w:hAnsi="IBM Plex Sans" w:cs="Times New Roman"/>
          <w:color w:val="1E1D1A"/>
          <w:kern w:val="0"/>
          <w:sz w:val="18"/>
          <w:szCs w:val="18"/>
          <w:shd w:val="clear" w:color="auto" w:fill="FFFFFF"/>
          <w:lang w:val="de-DE" w:eastAsia="nl-NL"/>
          <w14:ligatures w14:val="none"/>
        </w:rPr>
        <w:t>Medicine, 102(41), e35521. https://doi.org/10.1097/md.0000000000035521</w:t>
      </w:r>
    </w:p>
    <w:p w14:paraId="1C686206"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de-DE" w:eastAsia="nl-NL"/>
          <w14:ligatures w14:val="none"/>
        </w:rPr>
        <w:t xml:space="preserve">Mazur, K., Lewicki, M., Mazur, D., &amp; </w:t>
      </w:r>
      <w:proofErr w:type="spellStart"/>
      <w:r w:rsidRPr="009C7BFD">
        <w:rPr>
          <w:rFonts w:ascii="IBM Plex Sans" w:eastAsia="Times New Roman" w:hAnsi="IBM Plex Sans" w:cs="Times New Roman"/>
          <w:color w:val="1E1D1A"/>
          <w:kern w:val="0"/>
          <w:sz w:val="18"/>
          <w:szCs w:val="18"/>
          <w:shd w:val="clear" w:color="auto" w:fill="FFFFFF"/>
          <w:lang w:val="de-DE" w:eastAsia="nl-NL"/>
          <w14:ligatures w14:val="none"/>
        </w:rPr>
        <w:t>Smoleń</w:t>
      </w:r>
      <w:proofErr w:type="spellEnd"/>
      <w:r w:rsidRPr="009C7BFD">
        <w:rPr>
          <w:rFonts w:ascii="IBM Plex Sans" w:eastAsia="Times New Roman" w:hAnsi="IBM Plex Sans" w:cs="Times New Roman"/>
          <w:color w:val="1E1D1A"/>
          <w:kern w:val="0"/>
          <w:sz w:val="18"/>
          <w:szCs w:val="18"/>
          <w:shd w:val="clear" w:color="auto" w:fill="FFFFFF"/>
          <w:lang w:val="de-DE" w:eastAsia="nl-NL"/>
          <w14:ligatures w14:val="none"/>
        </w:rPr>
        <w:t xml:space="preserve">, A. (2021). </w:t>
      </w:r>
      <w:r w:rsidRPr="009C7BFD">
        <w:rPr>
          <w:rFonts w:ascii="IBM Plex Sans" w:eastAsia="Times New Roman" w:hAnsi="IBM Plex Sans" w:cs="Times New Roman"/>
          <w:color w:val="1E1D1A"/>
          <w:kern w:val="0"/>
          <w:sz w:val="18"/>
          <w:szCs w:val="18"/>
          <w:shd w:val="clear" w:color="auto" w:fill="FFFFFF"/>
          <w:lang w:val="en-GB" w:eastAsia="nl-NL"/>
          <w14:ligatures w14:val="none"/>
        </w:rPr>
        <w:t>Efficacy and safety of ashwagandha root extract in the treatment of insomnia, anxiety and reducing stress – literature review. Journal of Education Health and Sport, 11(12), 197-202. https://doi.org/10.12775/jehs.2021.11.12.013</w:t>
      </w:r>
    </w:p>
    <w:p w14:paraId="6B85511A"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s-ES" w:eastAsia="nl-NL"/>
          <w14:ligatures w14:val="none"/>
        </w:rPr>
        <w:t>Monfort, J., Pelletier, J., Garcia-Giralt, N., &amp; Martel</w:t>
      </w:r>
      <w:r w:rsidRPr="009C7BFD">
        <w:rPr>
          <w:rFonts w:ascii="Cambria Math" w:eastAsia="Times New Roman" w:hAnsi="Cambria Math" w:cs="Cambria Math"/>
          <w:color w:val="1E1D1A"/>
          <w:kern w:val="0"/>
          <w:sz w:val="18"/>
          <w:szCs w:val="18"/>
          <w:shd w:val="clear" w:color="auto" w:fill="FFFFFF"/>
          <w:lang w:val="es-ES" w:eastAsia="nl-NL"/>
          <w14:ligatures w14:val="none"/>
        </w:rPr>
        <w:t>‐</w:t>
      </w:r>
      <w:r w:rsidRPr="009C7BFD">
        <w:rPr>
          <w:rFonts w:ascii="IBM Plex Sans" w:eastAsia="Times New Roman" w:hAnsi="IBM Plex Sans" w:cs="Times New Roman"/>
          <w:color w:val="1E1D1A"/>
          <w:kern w:val="0"/>
          <w:sz w:val="18"/>
          <w:szCs w:val="18"/>
          <w:shd w:val="clear" w:color="auto" w:fill="FFFFFF"/>
          <w:lang w:val="es-ES" w:eastAsia="nl-NL"/>
          <w14:ligatures w14:val="none"/>
        </w:rPr>
        <w:t xml:space="preserve">Pelletier, J. (2008). </w:t>
      </w:r>
      <w:r w:rsidRPr="009C7BFD">
        <w:rPr>
          <w:rFonts w:ascii="IBM Plex Sans" w:eastAsia="Times New Roman" w:hAnsi="IBM Plex Sans" w:cs="Times New Roman"/>
          <w:color w:val="1E1D1A"/>
          <w:kern w:val="0"/>
          <w:sz w:val="18"/>
          <w:szCs w:val="18"/>
          <w:shd w:val="clear" w:color="auto" w:fill="FFFFFF"/>
          <w:lang w:val="en-GB" w:eastAsia="nl-NL"/>
          <w14:ligatures w14:val="none"/>
        </w:rPr>
        <w:t>Biochemical basis of the effect of chondroitin sulphate on osteoarthritis articular tissues. Annals of the Rheumatic Diseases, 67(6), 735-740. https://doi.org/10.1136/ard.2006.068882</w:t>
      </w:r>
    </w:p>
    <w:p w14:paraId="748532E0"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Patel, A., Pinsker, B., Wall, A., Arbogast, M., King, L.,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Sherzoy</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S. (2022). Itching to find a diagnosis. Clinical Liver Disease, 20(3), 77-80. https://doi.org/10.1002/cld.1230</w:t>
      </w:r>
    </w:p>
    <w:p w14:paraId="34FDB2E3"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Patnaik, N. (2015). Role of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brahmi</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and ashwagandha in anti-ageing. Journal of Biosciences and Medicines, 03(10), 102-104. https://doi.org/10.4236/jbm.2015.310014</w:t>
      </w:r>
    </w:p>
    <w:p w14:paraId="03C47D85"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Pettersen, B., Anousheh, R., Fan, J.,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Jaceldo</w:t>
      </w:r>
      <w:proofErr w:type="spellEnd"/>
      <w:r w:rsidRPr="009C7BFD">
        <w:rPr>
          <w:rFonts w:ascii="Cambria Math" w:eastAsia="Times New Roman" w:hAnsi="Cambria Math" w:cs="Cambria Math"/>
          <w:color w:val="1E1D1A"/>
          <w:kern w:val="0"/>
          <w:sz w:val="18"/>
          <w:szCs w:val="18"/>
          <w:shd w:val="clear" w:color="auto" w:fill="FFFFFF"/>
          <w:lang w:val="en-GB" w:eastAsia="nl-NL"/>
          <w14:ligatures w14:val="none"/>
        </w:rPr>
        <w:t>‐</w:t>
      </w: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Siegl, K., &amp; Fraser, G. (2012). Vegetarian diets and blood pressure among white subjects: results from the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adventist</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health study-2 (ahs-2). Public Health Nutrition, 15(10), 1909-1916. https://doi.org/10.1017/s1368980011003454</w:t>
      </w:r>
    </w:p>
    <w:p w14:paraId="240FFCA2"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Raut</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A.,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Rege</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N.,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Tadvi</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F.,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Solanki</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P.,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Kene</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K.,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Shirolkar</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S., … </w:t>
      </w:r>
      <w:r w:rsidRPr="009C7BFD">
        <w:rPr>
          <w:rFonts w:ascii="IBM Plex Sans" w:eastAsia="Times New Roman" w:hAnsi="IBM Plex Sans" w:cs="Times New Roman"/>
          <w:color w:val="1E1D1A"/>
          <w:kern w:val="0"/>
          <w:sz w:val="18"/>
          <w:szCs w:val="18"/>
          <w:shd w:val="clear" w:color="auto" w:fill="FFFFFF"/>
          <w:lang w:val="en-GB" w:eastAsia="nl-NL"/>
          <w14:ligatures w14:val="none"/>
        </w:rPr>
        <w:t>&amp; Vaidya, A. (2012). Exploratory study to evaluate tolerability, safety, and activity of ashwagandha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withania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somnifera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in healthy volunteers. Journal of Ayurveda and Integrative Medicine, 3(3), 111. https://doi.org/10.4103/0975-9476.100168</w:t>
      </w:r>
    </w:p>
    <w:p w14:paraId="145B97DD"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Sakkas, H.,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Bozidis</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Touzios</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C., Kolios, D., Athanasiou, G., Athanasopoulou, E., …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Gartzonika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C. (2020). Nutritional status and the influence of the vegan diet on the gut microbiota and human health.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Medicina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56(2), 88. https://doi.org/10.3390/medicina56020088</w:t>
      </w:r>
    </w:p>
    <w:p w14:paraId="18DDB7EE"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Salve, J., Pate, S., Debnath, K.,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Langade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D. (2019). Adaptogenic and anxiolytic effects of ashwagandha root extract in healthy adults: a double-blind, randomized, placebo-controlled clinical study.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Cureus</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https://doi.org/10.7759/cureus.6466</w:t>
      </w:r>
    </w:p>
    <w:p w14:paraId="0CE5D33F"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Shohag</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S., Akhter, S., Islam, S., Sarker, T., Sifat, M., Rahman, M., … &amp; Sharma, R. (2022). Perspectives on the molecular mediators of oxidative stress and antioxidant strategies in the context of neuroprotection and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neurolongevity</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an extensive review. Oxidative Medicine and Cellular Longevity, 2022, 1-20. https://doi.org/10.1155/2022/7743705</w:t>
      </w:r>
    </w:p>
    <w:p w14:paraId="67E5CAB0"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Shukla, S., Bhatnagar, M., &amp; Khurana, S. (2012). Critical evaluation of ayurvedic plants for stimulating intrinsic antioxidant response. Frontiers in Neuroscience, 6. https://doi.org/10.3389/fnins.2012.00112</w:t>
      </w:r>
    </w:p>
    <w:p w14:paraId="759DA19E"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Siddiqui, S., Ahmed, N., Goswami, M., Chakrabarty, A., &amp; Chowdhury, G. (2021).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Dna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damage by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withanone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as a potential cause of liver toxicity observed for herbal products of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withania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somnifera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r w:rsidRPr="009C7BFD">
        <w:rPr>
          <w:rFonts w:ascii="IBM Plex Sans" w:eastAsia="Times New Roman" w:hAnsi="IBM Plex Sans" w:cs="Times New Roman"/>
          <w:color w:val="1E1D1A"/>
          <w:kern w:val="0"/>
          <w:sz w:val="18"/>
          <w:szCs w:val="18"/>
          <w:shd w:val="clear" w:color="auto" w:fill="FFFFFF"/>
          <w:lang w:val="en-GB" w:eastAsia="nl-NL"/>
          <w14:ligatures w14:val="none"/>
        </w:rPr>
        <w:lastRenderedPageBreak/>
        <w:t>(ashwagandha). Current Research in Toxicology, 2, 72-81. https://doi.org/10.1016/j.crtox.2021.02.002</w:t>
      </w:r>
    </w:p>
    <w:p w14:paraId="3B4E28E1"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Tomova</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A., Bukovsky, I., Rembert, E., Yonas, W.,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Alwarith</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J., Barnard, N., … &amp;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Kahleová</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H. (2019). The effects of vegetarian and vegan diets on gut microbiota. Frontiers in Nutrition, 6. https://doi.org/10.3389/fnut.2019.00047</w:t>
      </w:r>
    </w:p>
    <w:p w14:paraId="40830A98" w14:textId="77777777" w:rsidR="009C7BFD" w:rsidRPr="009C7BFD" w:rsidRDefault="009C7BFD" w:rsidP="009C7BFD">
      <w:pPr>
        <w:pStyle w:val="Lijstalinea"/>
        <w:numPr>
          <w:ilvl w:val="0"/>
          <w:numId w:val="3"/>
        </w:numPr>
        <w:spacing w:after="0" w:line="240" w:lineRule="auto"/>
        <w:rPr>
          <w:rFonts w:ascii="IBM Plex Sans" w:eastAsia="Times New Roman" w:hAnsi="IBM Plex Sans" w:cs="Times New Roman"/>
          <w:color w:val="1E1D1A"/>
          <w:kern w:val="0"/>
          <w:sz w:val="18"/>
          <w:szCs w:val="18"/>
          <w:shd w:val="clear" w:color="auto" w:fill="FFFFFF"/>
          <w:lang w:val="en-GB" w:eastAsia="nl-NL"/>
          <w14:ligatures w14:val="none"/>
        </w:rPr>
      </w:pPr>
      <w:r w:rsidRPr="009C7BFD">
        <w:rPr>
          <w:rFonts w:ascii="IBM Plex Sans" w:eastAsia="Times New Roman" w:hAnsi="IBM Plex Sans" w:cs="Times New Roman"/>
          <w:color w:val="1E1D1A"/>
          <w:kern w:val="0"/>
          <w:sz w:val="18"/>
          <w:szCs w:val="18"/>
          <w:shd w:val="clear" w:color="auto" w:fill="FFFFFF"/>
          <w:lang w:val="en-GB" w:eastAsia="nl-NL"/>
          <w14:ligatures w14:val="none"/>
        </w:rPr>
        <w:t>Trivedi, M. (2017). Evaluation of immunomodulatory parameters in female &amp;</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amp;lt;i&amp;amp;gt;sprague</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dawley&amp;amp;lt</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i&amp;amp;gt</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rats after oral administration of the biofield energy healing treated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herbomineral</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formulation. American Journal of Bioscience, 5(6), 104. https://doi.org/10.11648/j.ajbio.20170506.12</w:t>
      </w:r>
    </w:p>
    <w:p w14:paraId="60E9C68B" w14:textId="7E3A2E4D" w:rsidR="009C7BFD" w:rsidRPr="009C7BFD" w:rsidRDefault="009C7BFD" w:rsidP="009C7BFD">
      <w:pPr>
        <w:pStyle w:val="Geenafstand"/>
        <w:numPr>
          <w:ilvl w:val="0"/>
          <w:numId w:val="3"/>
        </w:numPr>
        <w:rPr>
          <w:sz w:val="16"/>
          <w:szCs w:val="16"/>
        </w:rPr>
      </w:pPr>
      <w:r w:rsidRPr="00216F30">
        <w:rPr>
          <w:rFonts w:ascii="IBM Plex Sans" w:eastAsia="Times New Roman" w:hAnsi="IBM Plex Sans" w:cs="Times New Roman"/>
          <w:color w:val="1E1D1A"/>
          <w:kern w:val="0"/>
          <w:sz w:val="18"/>
          <w:szCs w:val="18"/>
          <w:shd w:val="clear" w:color="auto" w:fill="FFFFFF"/>
          <w:lang w:eastAsia="nl-NL"/>
          <w14:ligatures w14:val="none"/>
        </w:rPr>
        <w:t xml:space="preserve">Wang, J., Zhang, H.,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Kaul</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A., Li, K.,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Priyandoko</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D., </w:t>
      </w:r>
      <w:proofErr w:type="spellStart"/>
      <w:r w:rsidRPr="00216F30">
        <w:rPr>
          <w:rFonts w:ascii="IBM Plex Sans" w:eastAsia="Times New Roman" w:hAnsi="IBM Plex Sans" w:cs="Times New Roman"/>
          <w:color w:val="1E1D1A"/>
          <w:kern w:val="0"/>
          <w:sz w:val="18"/>
          <w:szCs w:val="18"/>
          <w:shd w:val="clear" w:color="auto" w:fill="FFFFFF"/>
          <w:lang w:eastAsia="nl-NL"/>
          <w14:ligatures w14:val="none"/>
        </w:rPr>
        <w:t>Kaul</w:t>
      </w:r>
      <w:proofErr w:type="spellEnd"/>
      <w:r w:rsidRPr="00216F30">
        <w:rPr>
          <w:rFonts w:ascii="IBM Plex Sans" w:eastAsia="Times New Roman" w:hAnsi="IBM Plex Sans" w:cs="Times New Roman"/>
          <w:color w:val="1E1D1A"/>
          <w:kern w:val="0"/>
          <w:sz w:val="18"/>
          <w:szCs w:val="18"/>
          <w:shd w:val="clear" w:color="auto" w:fill="FFFFFF"/>
          <w:lang w:eastAsia="nl-NL"/>
          <w14:ligatures w14:val="none"/>
        </w:rPr>
        <w:t xml:space="preserve">, S., … </w:t>
      </w:r>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&amp; Wadhwa, R. (2021). Effect of ashwagandha </w:t>
      </w:r>
      <w:proofErr w:type="spellStart"/>
      <w:r w:rsidRPr="009C7BFD">
        <w:rPr>
          <w:rFonts w:ascii="IBM Plex Sans" w:eastAsia="Times New Roman" w:hAnsi="IBM Plex Sans" w:cs="Times New Roman"/>
          <w:color w:val="1E1D1A"/>
          <w:kern w:val="0"/>
          <w:sz w:val="18"/>
          <w:szCs w:val="18"/>
          <w:shd w:val="clear" w:color="auto" w:fill="FFFFFF"/>
          <w:lang w:val="en-GB" w:eastAsia="nl-NL"/>
          <w14:ligatures w14:val="none"/>
        </w:rPr>
        <w:t>withanolides</w:t>
      </w:r>
      <w:proofErr w:type="spellEnd"/>
      <w:r w:rsidRPr="009C7BFD">
        <w:rPr>
          <w:rFonts w:ascii="IBM Plex Sans" w:eastAsia="Times New Roman" w:hAnsi="IBM Plex Sans" w:cs="Times New Roman"/>
          <w:color w:val="1E1D1A"/>
          <w:kern w:val="0"/>
          <w:sz w:val="18"/>
          <w:szCs w:val="18"/>
          <w:shd w:val="clear" w:color="auto" w:fill="FFFFFF"/>
          <w:lang w:val="en-GB" w:eastAsia="nl-NL"/>
          <w14:ligatures w14:val="none"/>
        </w:rPr>
        <w:t xml:space="preserve"> on muscle cell differentiation. </w:t>
      </w:r>
      <w:r w:rsidRPr="009C7BFD">
        <w:rPr>
          <w:rFonts w:ascii="IBM Plex Sans" w:eastAsia="Times New Roman" w:hAnsi="IBM Plex Sans" w:cs="Times New Roman"/>
          <w:color w:val="1E1D1A"/>
          <w:kern w:val="0"/>
          <w:sz w:val="18"/>
          <w:szCs w:val="18"/>
          <w:shd w:val="clear" w:color="auto" w:fill="FFFFFF"/>
          <w:lang w:eastAsia="nl-NL"/>
          <w14:ligatures w14:val="none"/>
        </w:rPr>
        <w:t>Biomolecules, 11(10), 1454. https://doi.org/10.3390/biom11101454</w:t>
      </w:r>
    </w:p>
    <w:p w14:paraId="0B97BE96" w14:textId="77777777" w:rsidR="009C7BFD" w:rsidRPr="009C7BFD" w:rsidRDefault="009C7BFD" w:rsidP="009C7BFD">
      <w:pPr>
        <w:pStyle w:val="Geenafstand"/>
      </w:pPr>
    </w:p>
    <w:p w14:paraId="11DDF09B" w14:textId="77777777" w:rsidR="009C7BFD" w:rsidRPr="009C7BFD" w:rsidRDefault="009C7BFD" w:rsidP="009C7BFD">
      <w:pPr>
        <w:pStyle w:val="Geenafstand"/>
      </w:pPr>
    </w:p>
    <w:sectPr w:rsidR="009C7BFD" w:rsidRPr="009C7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3768"/>
    <w:multiLevelType w:val="hybridMultilevel"/>
    <w:tmpl w:val="C310E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6D6954"/>
    <w:multiLevelType w:val="hybridMultilevel"/>
    <w:tmpl w:val="26222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6B7CB6"/>
    <w:multiLevelType w:val="hybridMultilevel"/>
    <w:tmpl w:val="54D4D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263352">
    <w:abstractNumId w:val="0"/>
  </w:num>
  <w:num w:numId="2" w16cid:durableId="744372892">
    <w:abstractNumId w:val="2"/>
  </w:num>
  <w:num w:numId="3" w16cid:durableId="71978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FD"/>
    <w:rsid w:val="00004E50"/>
    <w:rsid w:val="00216F30"/>
    <w:rsid w:val="00227AF1"/>
    <w:rsid w:val="00302587"/>
    <w:rsid w:val="003C2ED1"/>
    <w:rsid w:val="00405B8C"/>
    <w:rsid w:val="005641F7"/>
    <w:rsid w:val="00662182"/>
    <w:rsid w:val="007020E4"/>
    <w:rsid w:val="00707446"/>
    <w:rsid w:val="00760F77"/>
    <w:rsid w:val="009109C7"/>
    <w:rsid w:val="00996310"/>
    <w:rsid w:val="009C7BFD"/>
    <w:rsid w:val="00A93DC5"/>
    <w:rsid w:val="00B55ADA"/>
    <w:rsid w:val="00BC03A2"/>
    <w:rsid w:val="00BD4630"/>
    <w:rsid w:val="00C53F1A"/>
    <w:rsid w:val="00CB2028"/>
    <w:rsid w:val="00CF1CD5"/>
    <w:rsid w:val="00D569EA"/>
    <w:rsid w:val="00D87074"/>
    <w:rsid w:val="00DB7F22"/>
    <w:rsid w:val="00ED0F32"/>
    <w:rsid w:val="00FF1F41"/>
    <w:rsid w:val="00FF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93D5"/>
  <w15:chartTrackingRefBased/>
  <w15:docId w15:val="{CBB500C4-FDEF-4F24-A82A-7949DA7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7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C7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7B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7B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7B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7B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7B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7B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7B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B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C7B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7B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7B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7B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7B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7B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7B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7BFD"/>
    <w:rPr>
      <w:rFonts w:eastAsiaTheme="majorEastAsia" w:cstheme="majorBidi"/>
      <w:color w:val="272727" w:themeColor="text1" w:themeTint="D8"/>
    </w:rPr>
  </w:style>
  <w:style w:type="paragraph" w:styleId="Titel">
    <w:name w:val="Title"/>
    <w:basedOn w:val="Standaard"/>
    <w:next w:val="Standaard"/>
    <w:link w:val="TitelChar"/>
    <w:uiPriority w:val="10"/>
    <w:qFormat/>
    <w:rsid w:val="009C7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7B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7B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7B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7B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7BFD"/>
    <w:rPr>
      <w:i/>
      <w:iCs/>
      <w:color w:val="404040" w:themeColor="text1" w:themeTint="BF"/>
    </w:rPr>
  </w:style>
  <w:style w:type="paragraph" w:styleId="Lijstalinea">
    <w:name w:val="List Paragraph"/>
    <w:basedOn w:val="Standaard"/>
    <w:uiPriority w:val="34"/>
    <w:qFormat/>
    <w:rsid w:val="009C7BFD"/>
    <w:pPr>
      <w:ind w:left="720"/>
      <w:contextualSpacing/>
    </w:pPr>
  </w:style>
  <w:style w:type="character" w:styleId="Intensievebenadrukking">
    <w:name w:val="Intense Emphasis"/>
    <w:basedOn w:val="Standaardalinea-lettertype"/>
    <w:uiPriority w:val="21"/>
    <w:qFormat/>
    <w:rsid w:val="009C7BFD"/>
    <w:rPr>
      <w:i/>
      <w:iCs/>
      <w:color w:val="0F4761" w:themeColor="accent1" w:themeShade="BF"/>
    </w:rPr>
  </w:style>
  <w:style w:type="paragraph" w:styleId="Duidelijkcitaat">
    <w:name w:val="Intense Quote"/>
    <w:basedOn w:val="Standaard"/>
    <w:next w:val="Standaard"/>
    <w:link w:val="DuidelijkcitaatChar"/>
    <w:uiPriority w:val="30"/>
    <w:qFormat/>
    <w:rsid w:val="009C7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7BFD"/>
    <w:rPr>
      <w:i/>
      <w:iCs/>
      <w:color w:val="0F4761" w:themeColor="accent1" w:themeShade="BF"/>
    </w:rPr>
  </w:style>
  <w:style w:type="character" w:styleId="Intensieveverwijzing">
    <w:name w:val="Intense Reference"/>
    <w:basedOn w:val="Standaardalinea-lettertype"/>
    <w:uiPriority w:val="32"/>
    <w:qFormat/>
    <w:rsid w:val="009C7BFD"/>
    <w:rPr>
      <w:b/>
      <w:bCs/>
      <w:smallCaps/>
      <w:color w:val="0F4761" w:themeColor="accent1" w:themeShade="BF"/>
      <w:spacing w:val="5"/>
    </w:rPr>
  </w:style>
  <w:style w:type="paragraph" w:styleId="Geenafstand">
    <w:name w:val="No Spacing"/>
    <w:uiPriority w:val="1"/>
    <w:qFormat/>
    <w:rsid w:val="009C7BFD"/>
    <w:pPr>
      <w:spacing w:after="0" w:line="240" w:lineRule="auto"/>
    </w:pPr>
  </w:style>
  <w:style w:type="character" w:styleId="Hyperlink">
    <w:name w:val="Hyperlink"/>
    <w:basedOn w:val="Standaardalinea-lettertype"/>
    <w:uiPriority w:val="99"/>
    <w:unhideWhenUsed/>
    <w:rsid w:val="009C7BFD"/>
    <w:rPr>
      <w:color w:val="467886" w:themeColor="hyperlink"/>
      <w:u w:val="single"/>
    </w:rPr>
  </w:style>
  <w:style w:type="character" w:styleId="Onopgelostemelding">
    <w:name w:val="Unresolved Mention"/>
    <w:basedOn w:val="Standaardalinea-lettertype"/>
    <w:uiPriority w:val="99"/>
    <w:semiHidden/>
    <w:unhideWhenUsed/>
    <w:rsid w:val="009C7BFD"/>
    <w:rPr>
      <w:color w:val="605E5C"/>
      <w:shd w:val="clear" w:color="auto" w:fill="E1DFDD"/>
    </w:rPr>
  </w:style>
  <w:style w:type="character" w:styleId="GevolgdeHyperlink">
    <w:name w:val="FollowedHyperlink"/>
    <w:basedOn w:val="Standaardalinea-lettertype"/>
    <w:uiPriority w:val="99"/>
    <w:semiHidden/>
    <w:unhideWhenUsed/>
    <w:rsid w:val="009C7B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378874119339182" TargetMode="External"/><Relationship Id="rId3" Type="http://schemas.openxmlformats.org/officeDocument/2006/relationships/settings" Target="settings.xml"/><Relationship Id="rId7" Type="http://schemas.openxmlformats.org/officeDocument/2006/relationships/hyperlink" Target="https://citeseerx.ist.psu.edu/document?repid=rep1&amp;type=pdf&amp;doi=2bdff82eb23a373885252c87b53135b2fc9add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487234/" TargetMode="External"/><Relationship Id="rId11" Type="http://schemas.openxmlformats.org/officeDocument/2006/relationships/theme" Target="theme/theme1.xml"/><Relationship Id="rId5" Type="http://schemas.openxmlformats.org/officeDocument/2006/relationships/hyperlink" Target="https://www.sciencedirect.com/science/article/pii/S09652299203190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cureus.com/uploads/original_article/pdf/22928/1612429213-1612429205-20210204-18204-14l5om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1774</Words>
  <Characters>9762</Characters>
  <Application>Microsoft Office Word</Application>
  <DocSecurity>4</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Sleebos</dc:creator>
  <cp:keywords/>
  <dc:description/>
  <cp:lastModifiedBy>Saskia Geurts</cp:lastModifiedBy>
  <cp:revision>2</cp:revision>
  <dcterms:created xsi:type="dcterms:W3CDTF">2024-03-05T15:11:00Z</dcterms:created>
  <dcterms:modified xsi:type="dcterms:W3CDTF">2024-03-05T15:11:00Z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99cf7c-c8bf-4d91-a9ed-5390fc6fee58_Enabled">
    <vt:lpwstr>true</vt:lpwstr>
  </property>
  <property fmtid="{D5CDD505-2E9C-101B-9397-08002B2CF9AE}" pid="3" name="MSIP_Label_6899cf7c-c8bf-4d91-a9ed-5390fc6fee58_SetDate">
    <vt:lpwstr>2024-03-05T14:01:47Z</vt:lpwstr>
  </property>
  <property fmtid="{D5CDD505-2E9C-101B-9397-08002B2CF9AE}" pid="4" name="MSIP_Label_6899cf7c-c8bf-4d91-a9ed-5390fc6fee58_Method">
    <vt:lpwstr>Standard</vt:lpwstr>
  </property>
  <property fmtid="{D5CDD505-2E9C-101B-9397-08002B2CF9AE}" pid="5" name="MSIP_Label_6899cf7c-c8bf-4d91-a9ed-5390fc6fee58_Name">
    <vt:lpwstr>Public</vt:lpwstr>
  </property>
  <property fmtid="{D5CDD505-2E9C-101B-9397-08002B2CF9AE}" pid="6" name="MSIP_Label_6899cf7c-c8bf-4d91-a9ed-5390fc6fee58_SiteId">
    <vt:lpwstr>02cb1548-d321-46e0-b8eb-0f6800339fdf</vt:lpwstr>
  </property>
  <property fmtid="{D5CDD505-2E9C-101B-9397-08002B2CF9AE}" pid="7" name="MSIP_Label_6899cf7c-c8bf-4d91-a9ed-5390fc6fee58_ActionId">
    <vt:lpwstr>35a72877-659c-40a5-8f02-27ddf9a7458f</vt:lpwstr>
  </property>
  <property fmtid="{D5CDD505-2E9C-101B-9397-08002B2CF9AE}" pid="8" name="MSIP_Label_6899cf7c-c8bf-4d91-a9ed-5390fc6fee58_ContentBits">
    <vt:lpwstr>0</vt:lpwstr>
  </property>
</Properties>
</file>